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103</w:t>
      </w:r>
      <w:r>
        <w:rPr>
          <w:highlight w:val="none"/>
        </w:rPr>
        <w:fldChar w:fldCharType="end"/>
      </w:r>
      <w:r>
        <w:rPr>
          <w:b/>
          <w:i/>
          <w:sz w:val="28"/>
          <w:highlight w:val="none"/>
        </w:rPr>
        <w:tab/>
      </w:r>
      <w:r>
        <w:rPr>
          <w:rFonts w:hint="eastAsia" w:eastAsia="宋体"/>
          <w:b/>
          <w:i/>
          <w:sz w:val="28"/>
          <w:highlight w:val="none"/>
          <w:lang w:val="en-US" w:eastAsia="zh-CN"/>
        </w:rPr>
        <w:t>R5-243038</w:t>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F</w:t>
      </w:r>
      <w:r>
        <w:rPr>
          <w:b/>
          <w:sz w:val="24"/>
          <w:highlight w:val="none"/>
        </w:rPr>
        <w:fldChar w:fldCharType="end"/>
      </w:r>
      <w:r>
        <w:rPr>
          <w:rFonts w:hint="eastAsia" w:eastAsia="宋体"/>
          <w:b/>
          <w:sz w:val="24"/>
          <w:highlight w:val="none"/>
          <w:lang w:val="en-US" w:eastAsia="zh-CN"/>
        </w:rPr>
        <w:t>ukuoka</w:t>
      </w:r>
      <w:r>
        <w:rPr>
          <w:b/>
          <w:sz w:val="24"/>
          <w:highlight w:val="none"/>
        </w:rPr>
        <w:t xml:space="preserve">, </w:t>
      </w:r>
      <w:r>
        <w:rPr>
          <w:rFonts w:hint="eastAsia" w:eastAsia="宋体"/>
          <w:b/>
          <w:sz w:val="24"/>
          <w:highlight w:val="none"/>
          <w:lang w:val="en-US" w:eastAsia="zh-CN"/>
        </w:rPr>
        <w:t>Japan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宋体"/>
          <w:b/>
          <w:sz w:val="24"/>
          <w:highlight w:val="none"/>
          <w:lang w:val="en-US" w:eastAsia="zh-CN"/>
        </w:rPr>
        <w:t>M</w:t>
      </w:r>
      <w:r>
        <w:rPr>
          <w:b/>
          <w:sz w:val="24"/>
          <w:highlight w:val="none"/>
        </w:rPr>
        <w:fldChar w:fldCharType="end"/>
      </w:r>
      <w:r>
        <w:rPr>
          <w:rFonts w:hint="eastAsia" w:eastAsia="宋体"/>
          <w:b/>
          <w:sz w:val="24"/>
          <w:highlight w:val="none"/>
          <w:lang w:val="en-US" w:eastAsia="zh-CN"/>
        </w:rPr>
        <w:t>ay 20</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24, 2024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2808</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18.2.0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ATG RF Rx TCs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 CAICT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2024-05-08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ATG RF Rx TCs need to be updated according to RAN4 ATG big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ATG RF Rx TCs have been revised.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spec is not aligned with RAN4.</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default" w:eastAsia="宋体"/>
                <w:highlight w:val="none"/>
                <w:lang w:val="en-US" w:eastAsia="zh-CN"/>
              </w:rPr>
              <w:t>7.1J</w:t>
            </w:r>
            <w:r>
              <w:rPr>
                <w:rFonts w:hint="eastAsia" w:eastAsia="宋体"/>
                <w:highlight w:val="none"/>
                <w:lang w:val="en-US" w:eastAsia="zh-CN"/>
              </w:rPr>
              <w:t>, 7.5J</w:t>
            </w:r>
            <w:bookmarkStart w:id="3" w:name="_GoBack"/>
            <w:bookmarkEnd w:id="3"/>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default"/>
                <w:b/>
                <w:caps/>
                <w:highlight w:val="none"/>
                <w:lang w:val="en-US"/>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w:t>
            </w:r>
            <w:r>
              <w:rPr>
                <w:rFonts w:hint="default"/>
                <w:highlight w:val="none"/>
                <w:lang w:val="en-US"/>
              </w:rPr>
              <w:t>38.101-1</w:t>
            </w:r>
            <w:r>
              <w:rPr>
                <w:highlight w:val="none"/>
              </w:rPr>
              <w:t xml:space="preserve"> CR ... </w:t>
            </w:r>
          </w:p>
        </w:tc>
      </w:tr>
      <w:tr>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Core spec alignment</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3"/>
        <w:rPr>
          <w:lang w:eastAsia="zh-CN"/>
        </w:rPr>
      </w:pPr>
      <w:r>
        <w:rPr>
          <w:lang w:eastAsia="zh-CN"/>
        </w:rPr>
        <w:t>7.1J</w:t>
      </w:r>
      <w:r>
        <w:rPr>
          <w:lang w:eastAsia="zh-CN"/>
        </w:rPr>
        <w:tab/>
      </w:r>
      <w:r>
        <w:t>General</w:t>
      </w:r>
      <w:r>
        <w:rPr>
          <w:lang w:eastAsia="zh-CN"/>
        </w:rPr>
        <w:t xml:space="preserve"> for ATG</w:t>
      </w:r>
    </w:p>
    <w:p>
      <w:r>
        <w:t>Unless otherwise stated, the receiver characteristics are specified at the antenna connector(s) of the ATG UE with one or multiple omni-direction</w:t>
      </w:r>
      <w:r>
        <w:rPr>
          <w:lang w:eastAsia="zh-CN"/>
        </w:rPr>
        <w:t>al</w:t>
      </w:r>
      <w:r>
        <w:t xml:space="preserve"> antenna(s) or at the </w:t>
      </w:r>
      <w:r>
        <w:rPr>
          <w:i/>
          <w:lang w:eastAsia="zh-CN"/>
        </w:rPr>
        <w:t>transceiver array boundary</w:t>
      </w:r>
      <w:r>
        <w:t xml:space="preserve"> (TAB) connectors of the ATG UE with the antenna array. The definition about </w:t>
      </w:r>
      <w:r>
        <w:rPr>
          <w:i/>
          <w:lang w:eastAsia="zh-CN"/>
        </w:rPr>
        <w:t>transceiver array boundary</w:t>
      </w:r>
      <w:r>
        <w:t xml:space="preserve"> (TAB) is specified in clause 4.3.2 of TS 38.104 [</w:t>
      </w:r>
      <w:r>
        <w:rPr>
          <w:lang w:eastAsia="zh-CN"/>
        </w:rPr>
        <w:t>27</w:t>
      </w:r>
      <w:r>
        <w:t>].</w:t>
      </w:r>
    </w:p>
    <w:p>
      <w:r>
        <w:t>For the ATG UE with multiple omni-direction</w:t>
      </w:r>
      <w:r>
        <w:rPr>
          <w:lang w:eastAsia="zh-CN"/>
        </w:rPr>
        <w:t>al</w:t>
      </w:r>
      <w:r>
        <w:t xml:space="preserve"> antennas</w:t>
      </w:r>
      <w:ins w:id="0" w:author="Luyang Zhao-CMCC" w:date="2024-05-08T12:34:12Z">
        <w:r>
          <w:rPr>
            <w:rFonts w:hint="default"/>
            <w:lang w:val="en-US"/>
          </w:rPr>
          <w:t xml:space="preserve"> </w:t>
        </w:r>
      </w:ins>
      <w:ins w:id="1" w:author="Luyang Zhao-CMCC" w:date="2024-05-08T12:34:12Z">
        <w:r>
          <w:rPr/>
          <w:t xml:space="preserve">not </w:t>
        </w:r>
      </w:ins>
      <w:ins w:id="2" w:author="Luyang Zhao-CMCC" w:date="2024-05-08T12:34:12Z">
        <w:r>
          <w:rPr>
            <w:rFonts w:hint="eastAsia"/>
            <w:lang w:eastAsia="zh-CN"/>
          </w:rPr>
          <w:t>in</w:t>
        </w:r>
      </w:ins>
      <w:ins w:id="3" w:author="Luyang Zhao-CMCC" w:date="2024-05-08T12:34:12Z">
        <w:r>
          <w:rPr/>
          <w:t>dicating the capability</w:t>
        </w:r>
      </w:ins>
      <w:ins w:id="4" w:author="Luyang Zhao-CMCC" w:date="2024-05-08T12:34:12Z">
        <w:r>
          <w:rPr>
            <w:i/>
            <w:iCs/>
          </w:rPr>
          <w:t xml:space="preserve"> </w:t>
        </w:r>
      </w:ins>
      <w:ins w:id="5" w:author="Luyang Zhao-CMCC" w:date="2024-05-08T12:34:47Z">
        <w:r>
          <w:rPr>
            <w:rFonts w:hint="default"/>
            <w:i w:val="0"/>
            <w:iCs w:val="0"/>
            <w:lang w:val="en-US"/>
          </w:rPr>
          <w:t>[</w:t>
        </w:r>
      </w:ins>
      <w:ins w:id="6" w:author="Luyang Zhao-CMCC" w:date="2024-05-08T12:35:09Z">
        <w:r>
          <w:rPr>
            <w:i/>
            <w:iCs/>
          </w:rPr>
          <w:t>antennaArrayType-r18</w:t>
        </w:r>
      </w:ins>
      <w:ins w:id="7" w:author="Luyang Zhao-CMCC" w:date="2024-05-08T12:34:47Z">
        <w:r>
          <w:rPr>
            <w:rFonts w:hint="default"/>
            <w:i w:val="0"/>
            <w:iCs w:val="0"/>
            <w:lang w:val="en-US"/>
          </w:rPr>
          <w:t>]</w:t>
        </w:r>
      </w:ins>
      <w:r>
        <w:t>, the receiver RF requirements are defined on top of each antenna connector.</w:t>
      </w:r>
    </w:p>
    <w:p>
      <w:r>
        <w:t>For the ATG UE with the</w:t>
      </w:r>
      <w:r>
        <w:rPr>
          <w:lang w:eastAsia="zh-CN"/>
        </w:rPr>
        <w:t xml:space="preserve"> </w:t>
      </w:r>
      <w:r>
        <w:t>antenna array</w:t>
      </w:r>
      <w:ins w:id="8" w:author="Luyang Zhao-CMCC" w:date="2024-05-08T12:34:27Z">
        <w:r>
          <w:rPr>
            <w:rFonts w:eastAsia="等线"/>
            <w:lang w:eastAsia="en-GB"/>
          </w:rPr>
          <w:t xml:space="preserve"> indicating </w:t>
        </w:r>
      </w:ins>
      <w:ins w:id="9" w:author="Luyang Zhao-CMCC" w:date="2024-05-08T12:34:27Z">
        <w:r>
          <w:rPr/>
          <w:t>the capability</w:t>
        </w:r>
      </w:ins>
      <w:ins w:id="10" w:author="Luyang Zhao-CMCC" w:date="2024-05-08T12:34:27Z">
        <w:r>
          <w:rPr>
            <w:i/>
            <w:iCs/>
          </w:rPr>
          <w:t xml:space="preserve"> </w:t>
        </w:r>
      </w:ins>
      <w:ins w:id="11" w:author="Luyang Zhao-CMCC" w:date="2024-05-08T12:34:33Z">
        <w:r>
          <w:rPr>
            <w:rFonts w:hint="default"/>
            <w:i w:val="0"/>
            <w:iCs w:val="0"/>
            <w:lang w:val="en-US"/>
          </w:rPr>
          <w:t>[</w:t>
        </w:r>
      </w:ins>
      <w:ins w:id="12" w:author="Luyang Zhao-CMCC" w:date="2024-05-08T12:35:03Z">
        <w:r>
          <w:rPr>
            <w:i/>
            <w:iCs/>
          </w:rPr>
          <w:t>antennaArrayType-r18</w:t>
        </w:r>
      </w:ins>
      <w:ins w:id="13" w:author="Luyang Zhao-CMCC" w:date="2024-05-08T12:34:33Z">
        <w:r>
          <w:rPr>
            <w:rFonts w:hint="default"/>
            <w:i w:val="0"/>
            <w:iCs w:val="0"/>
            <w:lang w:val="en-US"/>
          </w:rPr>
          <w:t>]</w:t>
        </w:r>
      </w:ins>
      <w:r>
        <w:t>, the receiver RF requirements are defined on top of each TAB connector.</w:t>
      </w: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r>
        <w:t>7.5J</w:t>
      </w:r>
      <w:r>
        <w:tab/>
      </w:r>
      <w:r>
        <w:t>Adjacent channel selectivity for ATG</w:t>
      </w:r>
    </w:p>
    <w:p>
      <w:pPr>
        <w:pStyle w:val="74"/>
      </w:pPr>
      <w:r>
        <w:rPr>
          <w:rFonts w:eastAsia="TimesNewRomanPSMT"/>
          <w:lang w:eastAsia="fr-FR"/>
        </w:rPr>
        <w:t>Editor’s note: This clause is incomplete. The following aspects are either missing or not yet determined:</w:t>
      </w:r>
    </w:p>
    <w:p>
      <w:pPr>
        <w:pStyle w:val="74"/>
      </w:pPr>
      <w:r>
        <w:t>- MU and TT are FFS</w:t>
      </w:r>
    </w:p>
    <w:p>
      <w:pPr>
        <w:pStyle w:val="74"/>
      </w:pPr>
      <w:r>
        <w:t>- Message Contents are FFS pending on Rel-18 ASN.1 freeze</w:t>
      </w:r>
    </w:p>
    <w:p>
      <w:pPr>
        <w:pStyle w:val="8"/>
      </w:pPr>
      <w:r>
        <w:t>7.5J.1</w:t>
      </w:r>
      <w:r>
        <w:tab/>
      </w:r>
      <w:r>
        <w:t>Test purpose</w:t>
      </w:r>
    </w:p>
    <w:p>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pStyle w:val="8"/>
      </w:pPr>
      <w:r>
        <w:t>7.5J.2</w:t>
      </w:r>
      <w:r>
        <w:tab/>
      </w:r>
      <w:r>
        <w:t>Test applicability</w:t>
      </w:r>
    </w:p>
    <w:p>
      <w:r>
        <w:t>This test case applies to all types of NR UE release 18 and forward that support NR standalone ATG.</w:t>
      </w:r>
    </w:p>
    <w:p>
      <w:pPr>
        <w:pStyle w:val="8"/>
      </w:pPr>
      <w:r>
        <w:t>7.5J.3</w:t>
      </w:r>
      <w:r>
        <w:tab/>
      </w:r>
      <w:r>
        <w:t>Minimum conformance requirements</w:t>
      </w:r>
    </w:p>
    <w:p>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
        <w:t>The UE shall fulfil the minimum requirements specified in Table 7.5J.3-1 for NR bands with FDL_high &lt; 2700 MHz and FUL_high &lt; 2700 MHz and the minimum requirements specified in Table 7.5J.3-2 for NR bands with FDL_low ≥ 3300 MHz and FUL_low ≥ 3300 MHz. These requirements apply for all values of an adjacent channel interferer up to -42 dBm with omni-directional antenna and -30dBm with antenna array for any SCS specified for the channel bandwidth of the wanted signal. However, it is not possible to directly measure the ACS; instead the lower and upper range of test parameters are chosen as in Table 7.5J.3-3 and Table 7.5J.3-4 for verification of the requirements specified in Table 7.5J.3-1, and as in Table 7.5J.3-5 and Table 7.5J.3-6 for verification of the requirements specified in Table 7.5J.3-2. For these test parameters, the throughput shall be ≥ 95 % of the maximum throughput of the reference measurement channels as specified in Annexes A.2.2, A.3.2, and A.3.3 (with one sided dynamic OCNG Pattern OP.1 FDD/TDD for the DL-signal as described in Annex A.5.1.1/A.5.2.1).</w:t>
      </w:r>
    </w:p>
    <w:p>
      <w:pPr>
        <w:pStyle w:val="55"/>
      </w:pPr>
      <w:r>
        <w:t>Table 7.5J.3-1: ACS for NR bands with F</w:t>
      </w:r>
      <w:r>
        <w:rPr>
          <w:vertAlign w:val="subscript"/>
        </w:rPr>
        <w:t xml:space="preserve">DL_high </w:t>
      </w:r>
      <w:r>
        <w:t>&lt; 2700 MHz and F</w:t>
      </w:r>
      <w:r>
        <w:rPr>
          <w:vertAlign w:val="subscript"/>
        </w:rPr>
        <w:t xml:space="preserve">UL_high </w:t>
      </w:r>
      <w:r>
        <w:t>&lt; 2700 MHz</w:t>
      </w:r>
    </w:p>
    <w:tbl>
      <w:tblPr>
        <w:tblStyle w:val="42"/>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874"/>
        <w:gridCol w:w="921"/>
        <w:gridCol w:w="720"/>
        <w:gridCol w:w="4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restart"/>
            <w:shd w:val="clear" w:color="auto" w:fill="auto"/>
            <w:vAlign w:val="center"/>
          </w:tcPr>
          <w:p>
            <w:pPr>
              <w:pStyle w:val="51"/>
            </w:pPr>
            <w:r>
              <w:t>RX parameter</w:t>
            </w:r>
          </w:p>
        </w:tc>
        <w:tc>
          <w:tcPr>
            <w:tcW w:w="874" w:type="dxa"/>
            <w:vMerge w:val="restart"/>
            <w:vAlign w:val="center"/>
          </w:tcPr>
          <w:p>
            <w:pPr>
              <w:pStyle w:val="51"/>
            </w:pPr>
            <w:r>
              <w:t>Units</w:t>
            </w:r>
          </w:p>
        </w:tc>
        <w:tc>
          <w:tcPr>
            <w:tcW w:w="6236" w:type="dxa"/>
            <w:gridSpan w:val="3"/>
            <w:vAlign w:val="center"/>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continue"/>
            <w:shd w:val="clear" w:color="auto" w:fill="auto"/>
            <w:vAlign w:val="center"/>
          </w:tcPr>
          <w:p>
            <w:pPr>
              <w:pStyle w:val="51"/>
            </w:pPr>
          </w:p>
        </w:tc>
        <w:tc>
          <w:tcPr>
            <w:tcW w:w="874" w:type="dxa"/>
            <w:vMerge w:val="continue"/>
            <w:vAlign w:val="center"/>
          </w:tcPr>
          <w:p>
            <w:pPr>
              <w:pStyle w:val="51"/>
            </w:pPr>
          </w:p>
        </w:tc>
        <w:tc>
          <w:tcPr>
            <w:tcW w:w="921" w:type="dxa"/>
            <w:vAlign w:val="center"/>
          </w:tcPr>
          <w:p>
            <w:pPr>
              <w:pStyle w:val="51"/>
            </w:pPr>
            <w:del w:id="14" w:author="Luyang Zhao-CMCC" w:date="2024-05-08T12:27:37Z">
              <w:r>
                <w:rPr/>
                <w:delText xml:space="preserve">3, </w:delText>
              </w:r>
            </w:del>
            <w:r>
              <w:t>5, 10</w:t>
            </w:r>
          </w:p>
        </w:tc>
        <w:tc>
          <w:tcPr>
            <w:tcW w:w="720" w:type="dxa"/>
            <w:vAlign w:val="center"/>
          </w:tcPr>
          <w:p>
            <w:pPr>
              <w:pStyle w:val="51"/>
            </w:pPr>
            <w:r>
              <w:t>15</w:t>
            </w:r>
          </w:p>
        </w:tc>
        <w:tc>
          <w:tcPr>
            <w:tcW w:w="4595" w:type="dxa"/>
            <w:vAlign w:val="center"/>
          </w:tcPr>
          <w:p>
            <w:pPr>
              <w:pStyle w:val="51"/>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shd w:val="clear" w:color="auto" w:fill="auto"/>
            <w:vAlign w:val="center"/>
          </w:tcPr>
          <w:p>
            <w:pPr>
              <w:pStyle w:val="52"/>
            </w:pPr>
            <w:r>
              <w:t>ACS</w:t>
            </w:r>
          </w:p>
        </w:tc>
        <w:tc>
          <w:tcPr>
            <w:tcW w:w="874" w:type="dxa"/>
            <w:vAlign w:val="center"/>
          </w:tcPr>
          <w:p>
            <w:pPr>
              <w:pStyle w:val="52"/>
            </w:pPr>
            <w:r>
              <w:t>dB</w:t>
            </w:r>
          </w:p>
        </w:tc>
        <w:tc>
          <w:tcPr>
            <w:tcW w:w="921" w:type="dxa"/>
            <w:vAlign w:val="center"/>
          </w:tcPr>
          <w:p>
            <w:pPr>
              <w:pStyle w:val="52"/>
            </w:pPr>
            <w:r>
              <w:t>33</w:t>
            </w:r>
          </w:p>
        </w:tc>
        <w:tc>
          <w:tcPr>
            <w:tcW w:w="720" w:type="dxa"/>
            <w:vAlign w:val="center"/>
          </w:tcPr>
          <w:p>
            <w:pPr>
              <w:pStyle w:val="52"/>
            </w:pPr>
            <w:r>
              <w:t>30</w:t>
            </w:r>
          </w:p>
        </w:tc>
        <w:tc>
          <w:tcPr>
            <w:tcW w:w="4595" w:type="dxa"/>
            <w:vAlign w:val="center"/>
          </w:tcPr>
          <w:p>
            <w:pPr>
              <w:pStyle w:val="52"/>
            </w:pPr>
            <w:r>
              <w:t>27 – 10log</w:t>
            </w:r>
            <w:r>
              <w:rPr>
                <w:vertAlign w:val="subscript"/>
              </w:rPr>
              <w:t>10</w:t>
            </w:r>
            <w:r>
              <w:t>(BW</w:t>
            </w:r>
            <w:r>
              <w:rPr>
                <w:vertAlign w:val="subscript"/>
              </w:rPr>
              <w:t>Channel</w:t>
            </w:r>
            <w:r>
              <w:t xml:space="preserve">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280" w:type="dxa"/>
            <w:gridSpan w:val="5"/>
            <w:shd w:val="clear" w:color="auto" w:fill="auto"/>
            <w:vAlign w:val="center"/>
          </w:tcPr>
          <w:p>
            <w:pPr>
              <w:pStyle w:val="66"/>
            </w:pPr>
            <w:r>
              <w:t>NOTE1:</w:t>
            </w:r>
            <w:r>
              <w:tab/>
            </w:r>
            <w:r>
              <w:t>ACS value is rounded to the next higher 0.5dB value</w:t>
            </w:r>
          </w:p>
        </w:tc>
      </w:tr>
    </w:tbl>
    <w:p/>
    <w:p>
      <w:pPr>
        <w:pStyle w:val="55"/>
      </w:pPr>
      <w:r>
        <w:t>Table 7.5J.3-2: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7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907"/>
        <w:gridCol w:w="5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vMerge w:val="restart"/>
            <w:shd w:val="clear" w:color="auto" w:fill="auto"/>
            <w:vAlign w:val="center"/>
          </w:tcPr>
          <w:p>
            <w:pPr>
              <w:pStyle w:val="51"/>
            </w:pPr>
            <w:r>
              <w:t>RX parameter</w:t>
            </w:r>
          </w:p>
        </w:tc>
        <w:tc>
          <w:tcPr>
            <w:tcW w:w="907" w:type="dxa"/>
            <w:vMerge w:val="restart"/>
            <w:vAlign w:val="center"/>
          </w:tcPr>
          <w:p>
            <w:pPr>
              <w:pStyle w:val="51"/>
            </w:pPr>
            <w:r>
              <w:t>Units</w:t>
            </w:r>
          </w:p>
        </w:tc>
        <w:tc>
          <w:tcPr>
            <w:tcW w:w="5155" w:type="dxa"/>
            <w:vAlign w:val="center"/>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vMerge w:val="continue"/>
            <w:shd w:val="clear" w:color="auto" w:fill="auto"/>
            <w:vAlign w:val="center"/>
          </w:tcPr>
          <w:p>
            <w:pPr>
              <w:pStyle w:val="51"/>
            </w:pPr>
          </w:p>
        </w:tc>
        <w:tc>
          <w:tcPr>
            <w:tcW w:w="907" w:type="dxa"/>
            <w:vMerge w:val="continue"/>
            <w:vAlign w:val="center"/>
          </w:tcPr>
          <w:p>
            <w:pPr>
              <w:pStyle w:val="51"/>
            </w:pPr>
          </w:p>
        </w:tc>
        <w:tc>
          <w:tcPr>
            <w:tcW w:w="5155" w:type="dxa"/>
            <w:vAlign w:val="center"/>
          </w:tcPr>
          <w:p>
            <w:pPr>
              <w:pStyle w:val="51"/>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shd w:val="clear" w:color="auto" w:fill="auto"/>
            <w:vAlign w:val="center"/>
          </w:tcPr>
          <w:p>
            <w:pPr>
              <w:pStyle w:val="52"/>
            </w:pPr>
            <w:r>
              <w:t>ACS</w:t>
            </w:r>
          </w:p>
        </w:tc>
        <w:tc>
          <w:tcPr>
            <w:tcW w:w="907" w:type="dxa"/>
            <w:vAlign w:val="center"/>
          </w:tcPr>
          <w:p>
            <w:pPr>
              <w:pStyle w:val="52"/>
            </w:pPr>
            <w:r>
              <w:t>dB</w:t>
            </w:r>
          </w:p>
        </w:tc>
        <w:tc>
          <w:tcPr>
            <w:tcW w:w="5155" w:type="dxa"/>
            <w:vAlign w:val="center"/>
          </w:tcPr>
          <w:p>
            <w:pPr>
              <w:pStyle w:val="52"/>
            </w:pPr>
            <w:r>
              <w:t>33</w:t>
            </w:r>
          </w:p>
        </w:tc>
      </w:tr>
    </w:tbl>
    <w:p/>
    <w:p>
      <w:pPr>
        <w:pStyle w:val="55"/>
      </w:pPr>
      <w:r>
        <w:t>Table 7.5J.3-3: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w:t>
      </w:r>
    </w:p>
    <w:tbl>
      <w:tblPr>
        <w:tblStyle w:val="42"/>
        <w:tblW w:w="104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6"/>
        <w:gridCol w:w="775"/>
        <w:gridCol w:w="913"/>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tcBorders>
              <w:bottom w:val="nil"/>
            </w:tcBorders>
            <w:shd w:val="clear" w:color="auto" w:fill="auto"/>
          </w:tcPr>
          <w:p>
            <w:pPr>
              <w:pStyle w:val="51"/>
            </w:pPr>
            <w:r>
              <w:t>RX parameter</w:t>
            </w:r>
          </w:p>
        </w:tc>
        <w:tc>
          <w:tcPr>
            <w:tcW w:w="775" w:type="dxa"/>
            <w:tcBorders>
              <w:bottom w:val="nil"/>
            </w:tcBorders>
            <w:shd w:val="clear" w:color="auto" w:fill="auto"/>
          </w:tcPr>
          <w:p>
            <w:pPr>
              <w:pStyle w:val="51"/>
            </w:pPr>
            <w:r>
              <w:t>Units</w:t>
            </w:r>
          </w:p>
        </w:tc>
        <w:tc>
          <w:tcPr>
            <w:tcW w:w="7423" w:type="dxa"/>
            <w:gridSpan w:val="4"/>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tcBorders>
              <w:top w:val="nil"/>
            </w:tcBorders>
            <w:shd w:val="clear" w:color="auto" w:fill="auto"/>
          </w:tcPr>
          <w:p>
            <w:pPr>
              <w:pStyle w:val="51"/>
            </w:pPr>
          </w:p>
        </w:tc>
        <w:tc>
          <w:tcPr>
            <w:tcW w:w="775" w:type="dxa"/>
            <w:tcBorders>
              <w:top w:val="nil"/>
            </w:tcBorders>
            <w:shd w:val="clear" w:color="auto" w:fill="auto"/>
          </w:tcPr>
          <w:p>
            <w:pPr>
              <w:pStyle w:val="51"/>
            </w:pPr>
          </w:p>
        </w:tc>
        <w:tc>
          <w:tcPr>
            <w:tcW w:w="913" w:type="dxa"/>
          </w:tcPr>
          <w:p>
            <w:pPr>
              <w:pStyle w:val="51"/>
            </w:pPr>
            <w:del w:id="15" w:author="Luyang Zhao-CMCC" w:date="2024-05-08T12:27:45Z">
              <w:r>
                <w:rPr/>
                <w:delText>3</w:delText>
              </w:r>
            </w:del>
          </w:p>
        </w:tc>
        <w:tc>
          <w:tcPr>
            <w:tcW w:w="1302" w:type="dxa"/>
          </w:tcPr>
          <w:p>
            <w:pPr>
              <w:pStyle w:val="51"/>
            </w:pPr>
            <w:r>
              <w:t>5, 10</w:t>
            </w:r>
          </w:p>
        </w:tc>
        <w:tc>
          <w:tcPr>
            <w:tcW w:w="1302" w:type="dxa"/>
          </w:tcPr>
          <w:p>
            <w:pPr>
              <w:pStyle w:val="51"/>
            </w:pPr>
            <w:r>
              <w:t xml:space="preserve">15 </w:t>
            </w:r>
          </w:p>
        </w:tc>
        <w:tc>
          <w:tcPr>
            <w:tcW w:w="3906" w:type="dxa"/>
          </w:tcPr>
          <w:p>
            <w:pPr>
              <w:pStyle w:val="51"/>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shd w:val="clear" w:color="auto" w:fill="auto"/>
            <w:vAlign w:val="center"/>
          </w:tcPr>
          <w:p>
            <w:pPr>
              <w:pStyle w:val="52"/>
            </w:pPr>
            <w:r>
              <w:t>Power in transmission bandwidth configuration</w:t>
            </w:r>
          </w:p>
        </w:tc>
        <w:tc>
          <w:tcPr>
            <w:tcW w:w="775" w:type="dxa"/>
            <w:vAlign w:val="center"/>
          </w:tcPr>
          <w:p>
            <w:pPr>
              <w:pStyle w:val="52"/>
            </w:pPr>
            <w:r>
              <w:t>dBm</w:t>
            </w:r>
          </w:p>
        </w:tc>
        <w:tc>
          <w:tcPr>
            <w:tcW w:w="7423" w:type="dxa"/>
            <w:gridSpan w:val="4"/>
            <w:vAlign w:val="center"/>
          </w:tcPr>
          <w:p>
            <w:pPr>
              <w:pStyle w:val="52"/>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shd w:val="clear" w:color="auto" w:fill="auto"/>
            <w:vAlign w:val="center"/>
          </w:tcPr>
          <w:p>
            <w:pPr>
              <w:pStyle w:val="52"/>
            </w:pPr>
            <w:r>
              <w:t>P</w:t>
            </w:r>
            <w:r>
              <w:rPr>
                <w:vertAlign w:val="subscript"/>
              </w:rPr>
              <w:t>interferer</w:t>
            </w:r>
            <w:r>
              <w:rPr>
                <w:vertAlign w:val="superscript"/>
              </w:rPr>
              <w:t>4</w:t>
            </w:r>
          </w:p>
        </w:tc>
        <w:tc>
          <w:tcPr>
            <w:tcW w:w="775" w:type="dxa"/>
            <w:vAlign w:val="center"/>
          </w:tcPr>
          <w:p>
            <w:pPr>
              <w:pStyle w:val="52"/>
            </w:pPr>
            <w:r>
              <w:t>dBm</w:t>
            </w:r>
          </w:p>
        </w:tc>
        <w:tc>
          <w:tcPr>
            <w:tcW w:w="913" w:type="dxa"/>
          </w:tcPr>
          <w:p>
            <w:pPr>
              <w:pStyle w:val="52"/>
            </w:pPr>
          </w:p>
        </w:tc>
        <w:tc>
          <w:tcPr>
            <w:tcW w:w="1302" w:type="dxa"/>
            <w:vAlign w:val="center"/>
          </w:tcPr>
          <w:p>
            <w:pPr>
              <w:pStyle w:val="52"/>
            </w:pPr>
            <w:r>
              <w:t>REFSENS + 45.5 dB</w:t>
            </w:r>
          </w:p>
        </w:tc>
        <w:tc>
          <w:tcPr>
            <w:tcW w:w="1302" w:type="dxa"/>
            <w:vAlign w:val="center"/>
          </w:tcPr>
          <w:p>
            <w:pPr>
              <w:pStyle w:val="52"/>
            </w:pPr>
            <w:r>
              <w:t>REFSENS + 42.5 dB</w:t>
            </w:r>
          </w:p>
        </w:tc>
        <w:tc>
          <w:tcPr>
            <w:tcW w:w="3906" w:type="dxa"/>
            <w:vAlign w:val="center"/>
          </w:tcPr>
          <w:p>
            <w:pPr>
              <w:pStyle w:val="52"/>
            </w:pPr>
          </w:p>
          <w:p>
            <w:pPr>
              <w:pStyle w:val="52"/>
            </w:pPr>
            <w:r>
              <w:t>REFSENS + 39.5 – 10log</w:t>
            </w:r>
            <w:r>
              <w:rPr>
                <w:vertAlign w:val="subscript"/>
              </w:rPr>
              <w:t>10</w:t>
            </w:r>
            <w:r>
              <w:t>(BW</w:t>
            </w:r>
            <w:r>
              <w:rPr>
                <w:vertAlign w:val="subscript"/>
              </w:rPr>
              <w:t>Channel</w:t>
            </w:r>
            <w:r>
              <w:t xml:space="preserve"> /20)</w:t>
            </w:r>
          </w:p>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shd w:val="clear" w:color="auto" w:fill="auto"/>
            <w:vAlign w:val="center"/>
          </w:tcPr>
          <w:p>
            <w:pPr>
              <w:pStyle w:val="52"/>
            </w:pPr>
            <w:r>
              <w:t>BW</w:t>
            </w:r>
            <w:r>
              <w:rPr>
                <w:vertAlign w:val="subscript"/>
              </w:rPr>
              <w:t>interferer</w:t>
            </w:r>
          </w:p>
        </w:tc>
        <w:tc>
          <w:tcPr>
            <w:tcW w:w="775" w:type="dxa"/>
            <w:vAlign w:val="center"/>
          </w:tcPr>
          <w:p>
            <w:pPr>
              <w:pStyle w:val="52"/>
            </w:pPr>
            <w:r>
              <w:t>MHz</w:t>
            </w:r>
          </w:p>
        </w:tc>
        <w:tc>
          <w:tcPr>
            <w:tcW w:w="913" w:type="dxa"/>
          </w:tcPr>
          <w:p>
            <w:pPr>
              <w:pStyle w:val="52"/>
            </w:pPr>
            <w:del w:id="16" w:author="Luyang Zhao-CMCC" w:date="2024-05-08T12:27:48Z">
              <w:r>
                <w:rPr/>
                <w:delText>3</w:delText>
              </w:r>
            </w:del>
          </w:p>
        </w:tc>
        <w:tc>
          <w:tcPr>
            <w:tcW w:w="6510" w:type="dxa"/>
            <w:gridSpan w:val="3"/>
            <w:vAlign w:val="center"/>
          </w:tcPr>
          <w:p>
            <w:pPr>
              <w:pStyle w:val="52"/>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tcBorders>
              <w:bottom w:val="single" w:color="auto" w:sz="4" w:space="0"/>
            </w:tcBorders>
            <w:shd w:val="clear" w:color="auto" w:fill="auto"/>
            <w:vAlign w:val="center"/>
          </w:tcPr>
          <w:p>
            <w:pPr>
              <w:pStyle w:val="52"/>
            </w:pPr>
            <w:r>
              <w:t>F</w:t>
            </w:r>
            <w:r>
              <w:rPr>
                <w:vertAlign w:val="subscript"/>
              </w:rPr>
              <w:t>interferer</w:t>
            </w:r>
            <w:r>
              <w:t xml:space="preserve"> (offset)</w:t>
            </w:r>
          </w:p>
        </w:tc>
        <w:tc>
          <w:tcPr>
            <w:tcW w:w="775" w:type="dxa"/>
            <w:tcBorders>
              <w:bottom w:val="single" w:color="auto" w:sz="4" w:space="0"/>
            </w:tcBorders>
            <w:vAlign w:val="center"/>
          </w:tcPr>
          <w:p>
            <w:pPr>
              <w:pStyle w:val="52"/>
            </w:pPr>
            <w:r>
              <w:t>MHz</w:t>
            </w:r>
          </w:p>
        </w:tc>
        <w:tc>
          <w:tcPr>
            <w:tcW w:w="913" w:type="dxa"/>
          </w:tcPr>
          <w:p>
            <w:pPr>
              <w:pStyle w:val="52"/>
            </w:pPr>
            <w:del w:id="17" w:author="Luyang Zhao-CMCC" w:date="2024-05-08T12:27:49Z">
              <w:r>
                <w:rPr/>
                <w:delText>3 /- 3</w:delText>
              </w:r>
            </w:del>
          </w:p>
        </w:tc>
        <w:tc>
          <w:tcPr>
            <w:tcW w:w="6510" w:type="dxa"/>
            <w:gridSpan w:val="3"/>
            <w:vAlign w:val="center"/>
          </w:tcPr>
          <w:p>
            <w:pPr>
              <w:pStyle w:val="52"/>
            </w:pPr>
            <w:r>
              <w:t>BW</w:t>
            </w:r>
            <w:r>
              <w:rPr>
                <w:vertAlign w:val="subscript"/>
              </w:rPr>
              <w:t>Channel</w:t>
            </w:r>
            <w:r>
              <w:t xml:space="preserve"> /2 + 2.5</w:t>
            </w:r>
          </w:p>
          <w:p>
            <w:pPr>
              <w:pStyle w:val="52"/>
            </w:pPr>
            <w:r>
              <w:t>/</w:t>
            </w:r>
          </w:p>
          <w:p>
            <w:pPr>
              <w:pStyle w:val="52"/>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4" w:type="dxa"/>
            <w:gridSpan w:val="6"/>
          </w:tcPr>
          <w:p>
            <w:pPr>
              <w:pStyle w:val="66"/>
            </w:pPr>
            <w:r>
              <w:t>NOTE 1:</w:t>
            </w:r>
            <w:r>
              <w:tab/>
            </w:r>
            <w:r>
              <w:t>The transmitter shall be set to 4 dB below P</w:t>
            </w:r>
            <w:r>
              <w:rPr>
                <w:vertAlign w:val="subscript"/>
              </w:rPr>
              <w:t xml:space="preserve">CMAX_L,f,c </w:t>
            </w:r>
            <w:r>
              <w:t>at the minimum UL configuration specified in Table 7.3.2.3-3 with P</w:t>
            </w:r>
            <w:r>
              <w:rPr>
                <w:vertAlign w:val="subscript"/>
              </w:rPr>
              <w:t xml:space="preserve">CMAX_L,f,c </w:t>
            </w:r>
            <w:r>
              <w:t>defined in clause 6.2J.2.</w:t>
            </w:r>
          </w:p>
          <w:p>
            <w:pPr>
              <w:pStyle w:val="66"/>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5" o:spt="75" type="#_x0000_t75" style="height:15pt;width:117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MHz with SCS the sub-carrier spacing of the wanted signal in MHz. The interferer is an NR signal with 15 kHz SCS.</w:t>
            </w:r>
          </w:p>
          <w:p>
            <w:pPr>
              <w:pStyle w:val="66"/>
            </w:pPr>
            <w:r>
              <w:t>NOTE 3:</w:t>
            </w:r>
            <w:r>
              <w:tab/>
            </w:r>
            <w:r>
              <w:t>The interferer consists of the NR interferer RMC specified in Annexes A.3.2.2 and A.3.3.2 with one sided dynamic OCNG Pattern OP.1 FDD/TDD for the DL-signal as described in Annex A.5.1.1/A.5.2.1.</w:t>
            </w:r>
          </w:p>
          <w:p>
            <w:pPr>
              <w:pStyle w:val="66"/>
              <w:ind w:left="881" w:hanging="881"/>
            </w:pPr>
            <w:r>
              <w:t>NOTE 4:</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 xml:space="preserve">(x) is </w:t>
            </w:r>
            <w:r>
              <w:t>rounded to the next higher 0.5dB value.</w:t>
            </w:r>
          </w:p>
        </w:tc>
      </w:tr>
    </w:tbl>
    <w:p/>
    <w:p>
      <w:pPr>
        <w:pStyle w:val="55"/>
      </w:pPr>
      <w:r>
        <w:t>Table 7.5J.3-4: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w:t>
      </w:r>
    </w:p>
    <w:tbl>
      <w:tblPr>
        <w:tblStyle w:val="42"/>
        <w:tblW w:w="10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1"/>
        <w:gridCol w:w="1134"/>
        <w:gridCol w:w="1910"/>
        <w:gridCol w:w="1080"/>
        <w:gridCol w:w="3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tcBorders>
              <w:bottom w:val="nil"/>
            </w:tcBorders>
            <w:shd w:val="clear" w:color="auto" w:fill="auto"/>
            <w:vAlign w:val="center"/>
          </w:tcPr>
          <w:p>
            <w:pPr>
              <w:pStyle w:val="51"/>
            </w:pPr>
            <w:r>
              <w:t>RX parameter</w:t>
            </w:r>
          </w:p>
        </w:tc>
        <w:tc>
          <w:tcPr>
            <w:tcW w:w="1134" w:type="dxa"/>
            <w:tcBorders>
              <w:bottom w:val="nil"/>
            </w:tcBorders>
            <w:shd w:val="clear" w:color="auto" w:fill="auto"/>
            <w:vAlign w:val="center"/>
          </w:tcPr>
          <w:p>
            <w:pPr>
              <w:pStyle w:val="51"/>
            </w:pPr>
            <w:r>
              <w:t>Units</w:t>
            </w:r>
          </w:p>
        </w:tc>
        <w:tc>
          <w:tcPr>
            <w:tcW w:w="6382" w:type="dxa"/>
            <w:gridSpan w:val="3"/>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tcBorders>
              <w:top w:val="nil"/>
            </w:tcBorders>
            <w:shd w:val="clear" w:color="auto" w:fill="auto"/>
            <w:vAlign w:val="center"/>
          </w:tcPr>
          <w:p>
            <w:pPr>
              <w:pStyle w:val="51"/>
            </w:pPr>
          </w:p>
        </w:tc>
        <w:tc>
          <w:tcPr>
            <w:tcW w:w="1134" w:type="dxa"/>
            <w:tcBorders>
              <w:top w:val="nil"/>
            </w:tcBorders>
            <w:shd w:val="clear" w:color="auto" w:fill="auto"/>
            <w:vAlign w:val="center"/>
          </w:tcPr>
          <w:p>
            <w:pPr>
              <w:pStyle w:val="51"/>
            </w:pPr>
          </w:p>
        </w:tc>
        <w:tc>
          <w:tcPr>
            <w:tcW w:w="1910" w:type="dxa"/>
          </w:tcPr>
          <w:p>
            <w:pPr>
              <w:pStyle w:val="51"/>
            </w:pPr>
            <w:r>
              <w:t>5, 10</w:t>
            </w:r>
          </w:p>
        </w:tc>
        <w:tc>
          <w:tcPr>
            <w:tcW w:w="1080" w:type="dxa"/>
            <w:vAlign w:val="center"/>
          </w:tcPr>
          <w:p>
            <w:pPr>
              <w:pStyle w:val="51"/>
            </w:pPr>
            <w:r>
              <w:t>15</w:t>
            </w:r>
          </w:p>
        </w:tc>
        <w:tc>
          <w:tcPr>
            <w:tcW w:w="3392" w:type="dxa"/>
            <w:vAlign w:val="center"/>
          </w:tcPr>
          <w:p>
            <w:pPr>
              <w:pStyle w:val="51"/>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shd w:val="clear" w:color="auto" w:fill="auto"/>
            <w:vAlign w:val="center"/>
          </w:tcPr>
          <w:p>
            <w:pPr>
              <w:pStyle w:val="52"/>
            </w:pPr>
            <w:r>
              <w:t>Power in transmission bandwidth configuration</w:t>
            </w:r>
            <w:r>
              <w:rPr>
                <w:vertAlign w:val="superscript"/>
              </w:rPr>
              <w:t>4</w:t>
            </w:r>
          </w:p>
        </w:tc>
        <w:tc>
          <w:tcPr>
            <w:tcW w:w="1134" w:type="dxa"/>
            <w:vAlign w:val="center"/>
          </w:tcPr>
          <w:p>
            <w:pPr>
              <w:pStyle w:val="52"/>
            </w:pPr>
            <w:r>
              <w:t>dBm</w:t>
            </w:r>
          </w:p>
        </w:tc>
        <w:tc>
          <w:tcPr>
            <w:tcW w:w="1910" w:type="dxa"/>
          </w:tcPr>
          <w:p>
            <w:pPr>
              <w:pStyle w:val="52"/>
              <w:rPr>
                <w:vertAlign w:val="superscript"/>
              </w:rPr>
            </w:pPr>
            <w:r>
              <w:t>-73.5</w:t>
            </w:r>
            <w:r>
              <w:rPr>
                <w:vertAlign w:val="superscript"/>
              </w:rPr>
              <w:t>5</w:t>
            </w:r>
          </w:p>
          <w:p>
            <w:pPr>
              <w:pStyle w:val="52"/>
            </w:pPr>
            <w:r>
              <w:t>-61.5</w:t>
            </w:r>
            <w:r>
              <w:rPr>
                <w:vertAlign w:val="superscript"/>
              </w:rPr>
              <w:t>6</w:t>
            </w:r>
          </w:p>
        </w:tc>
        <w:tc>
          <w:tcPr>
            <w:tcW w:w="1080" w:type="dxa"/>
            <w:vAlign w:val="center"/>
          </w:tcPr>
          <w:p>
            <w:pPr>
              <w:pStyle w:val="52"/>
              <w:rPr>
                <w:vertAlign w:val="superscript"/>
              </w:rPr>
            </w:pPr>
            <w:r>
              <w:t>-70.5</w:t>
            </w:r>
            <w:r>
              <w:rPr>
                <w:vertAlign w:val="superscript"/>
              </w:rPr>
              <w:t>5</w:t>
            </w:r>
          </w:p>
          <w:p>
            <w:pPr>
              <w:pStyle w:val="52"/>
            </w:pPr>
            <w:r>
              <w:t>-58.5</w:t>
            </w:r>
            <w:r>
              <w:rPr>
                <w:vertAlign w:val="superscript"/>
              </w:rPr>
              <w:t>6</w:t>
            </w:r>
          </w:p>
        </w:tc>
        <w:tc>
          <w:tcPr>
            <w:tcW w:w="3392" w:type="dxa"/>
            <w:vAlign w:val="center"/>
          </w:tcPr>
          <w:p>
            <w:pPr>
              <w:pStyle w:val="52"/>
            </w:pPr>
            <w:r>
              <w:t>-67.5 + 10log</w:t>
            </w:r>
            <w:r>
              <w:rPr>
                <w:vertAlign w:val="subscript"/>
              </w:rPr>
              <w:t>10</w:t>
            </w:r>
            <w:r>
              <w:t>(BW</w:t>
            </w:r>
            <w:r>
              <w:rPr>
                <w:vertAlign w:val="subscript"/>
              </w:rPr>
              <w:t>Channel</w:t>
            </w:r>
            <w:r>
              <w:t xml:space="preserve"> /20)</w:t>
            </w:r>
            <w:r>
              <w:rPr>
                <w:vertAlign w:val="superscript"/>
              </w:rPr>
              <w:t>5</w:t>
            </w:r>
          </w:p>
          <w:p>
            <w:pPr>
              <w:pStyle w:val="52"/>
            </w:pPr>
            <w:r>
              <w:t>-55.5 + 10log</w:t>
            </w:r>
            <w:r>
              <w:rPr>
                <w:vertAlign w:val="subscript"/>
              </w:rPr>
              <w:t>10</w:t>
            </w:r>
            <w:r>
              <w:t>(BW</w:t>
            </w:r>
            <w:r>
              <w:rPr>
                <w:vertAlign w:val="subscript"/>
              </w:rPr>
              <w:t>Channel</w:t>
            </w:r>
            <w:r>
              <w:t xml:space="preserve"> /20)</w:t>
            </w:r>
            <w:r>
              <w:rPr>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shd w:val="clear" w:color="auto" w:fill="auto"/>
            <w:vAlign w:val="center"/>
          </w:tcPr>
          <w:p>
            <w:pPr>
              <w:pStyle w:val="52"/>
            </w:pPr>
            <w:r>
              <w:t>P</w:t>
            </w:r>
            <w:r>
              <w:rPr>
                <w:vertAlign w:val="subscript"/>
              </w:rPr>
              <w:t>interferer</w:t>
            </w:r>
          </w:p>
        </w:tc>
        <w:tc>
          <w:tcPr>
            <w:tcW w:w="1134" w:type="dxa"/>
            <w:vAlign w:val="center"/>
          </w:tcPr>
          <w:p>
            <w:pPr>
              <w:pStyle w:val="52"/>
            </w:pPr>
            <w:r>
              <w:t>dBm</w:t>
            </w:r>
          </w:p>
        </w:tc>
        <w:tc>
          <w:tcPr>
            <w:tcW w:w="6382" w:type="dxa"/>
            <w:gridSpan w:val="3"/>
          </w:tcPr>
          <w:p>
            <w:pPr>
              <w:pStyle w:val="52"/>
            </w:pPr>
            <w:r>
              <w:t>-42</w:t>
            </w:r>
            <w:r>
              <w:rPr>
                <w:vertAlign w:val="superscript"/>
              </w:rPr>
              <w:t>5</w:t>
            </w:r>
          </w:p>
          <w:p>
            <w:pPr>
              <w:pStyle w:val="52"/>
            </w:pPr>
            <w:r>
              <w:t>-30</w:t>
            </w:r>
            <w:r>
              <w:rPr>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shd w:val="clear" w:color="auto" w:fill="auto"/>
            <w:vAlign w:val="center"/>
          </w:tcPr>
          <w:p>
            <w:pPr>
              <w:pStyle w:val="52"/>
            </w:pPr>
            <w:r>
              <w:t>BW</w:t>
            </w:r>
            <w:r>
              <w:rPr>
                <w:vertAlign w:val="subscript"/>
              </w:rPr>
              <w:t>interferer</w:t>
            </w:r>
          </w:p>
        </w:tc>
        <w:tc>
          <w:tcPr>
            <w:tcW w:w="1134" w:type="dxa"/>
            <w:vAlign w:val="center"/>
          </w:tcPr>
          <w:p>
            <w:pPr>
              <w:pStyle w:val="52"/>
            </w:pPr>
            <w:r>
              <w:t>MHz</w:t>
            </w:r>
          </w:p>
        </w:tc>
        <w:tc>
          <w:tcPr>
            <w:tcW w:w="6382" w:type="dxa"/>
            <w:gridSpan w:val="3"/>
          </w:tcPr>
          <w:p>
            <w:pPr>
              <w:pStyle w:val="52"/>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tcBorders>
              <w:bottom w:val="single" w:color="auto" w:sz="4" w:space="0"/>
            </w:tcBorders>
            <w:shd w:val="clear" w:color="auto" w:fill="auto"/>
            <w:vAlign w:val="center"/>
          </w:tcPr>
          <w:p>
            <w:pPr>
              <w:pStyle w:val="52"/>
            </w:pPr>
            <w:r>
              <w:t>F</w:t>
            </w:r>
            <w:r>
              <w:rPr>
                <w:vertAlign w:val="subscript"/>
              </w:rPr>
              <w:t>interferer</w:t>
            </w:r>
            <w:r>
              <w:t xml:space="preserve"> (offset)</w:t>
            </w:r>
          </w:p>
        </w:tc>
        <w:tc>
          <w:tcPr>
            <w:tcW w:w="1134" w:type="dxa"/>
            <w:tcBorders>
              <w:bottom w:val="single" w:color="auto" w:sz="4" w:space="0"/>
            </w:tcBorders>
            <w:vAlign w:val="center"/>
          </w:tcPr>
          <w:p>
            <w:pPr>
              <w:pStyle w:val="52"/>
            </w:pPr>
            <w:r>
              <w:t>MHz</w:t>
            </w:r>
          </w:p>
        </w:tc>
        <w:tc>
          <w:tcPr>
            <w:tcW w:w="6382" w:type="dxa"/>
            <w:gridSpan w:val="3"/>
          </w:tcPr>
          <w:p>
            <w:pPr>
              <w:pStyle w:val="52"/>
            </w:pPr>
            <w:r>
              <w:t xml:space="preserve"> BW</w:t>
            </w:r>
            <w:r>
              <w:rPr>
                <w:vertAlign w:val="subscript"/>
              </w:rPr>
              <w:t>Channel</w:t>
            </w:r>
            <w:r>
              <w:t xml:space="preserve"> /2 + 2.5</w:t>
            </w:r>
          </w:p>
          <w:p>
            <w:pPr>
              <w:pStyle w:val="52"/>
            </w:pPr>
            <w:r>
              <w:t>/</w:t>
            </w:r>
          </w:p>
          <w:p>
            <w:pPr>
              <w:pStyle w:val="52"/>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97" w:type="dxa"/>
            <w:gridSpan w:val="5"/>
          </w:tcPr>
          <w:p>
            <w:pPr>
              <w:pStyle w:val="66"/>
            </w:pPr>
            <w:r>
              <w:t>NOTE 1:</w:t>
            </w:r>
            <w:r>
              <w:tab/>
            </w:r>
            <w:r>
              <w:t>The transmitter shall be set to 24 dB below P</w:t>
            </w:r>
            <w:r>
              <w:rPr>
                <w:vertAlign w:val="subscript"/>
              </w:rPr>
              <w:t xml:space="preserve">CMAX_L,f,c </w:t>
            </w:r>
            <w:r>
              <w:t>at the minimum UL configuration specified in Table 7.3.2.3-3 with P</w:t>
            </w:r>
            <w:r>
              <w:rPr>
                <w:vertAlign w:val="subscript"/>
              </w:rPr>
              <w:t xml:space="preserve">CMAX_L,f,c </w:t>
            </w:r>
            <w:r>
              <w:t>defined in clause 6.2J.2.</w:t>
            </w:r>
          </w:p>
          <w:p>
            <w:pPr>
              <w:pStyle w:val="66"/>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6" o:spt="75" type="#_x0000_t75" style="height:15pt;width:117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t>MHz with SCS the sub-carrier spacing of the wanted signal in MHz. The interferer is an NR signal with 15 kHz SCS.</w:t>
            </w:r>
          </w:p>
          <w:p>
            <w:pPr>
              <w:pStyle w:val="66"/>
            </w:pPr>
            <w:r>
              <w:t>NOTE 3:</w:t>
            </w:r>
            <w:r>
              <w:tab/>
            </w:r>
            <w:r>
              <w:t>The interferer consists of the RMC specified in Annexes A.3.2.2 and A.3.3.2 with one sided dynamic OCNG Pattern OP.1 FDD/TDD for the DL-signal as described in Annex A.5.1.1/A.5.2.1</w:t>
            </w:r>
          </w:p>
          <w:p>
            <w:pPr>
              <w:pStyle w:val="66"/>
            </w:pPr>
            <w:r>
              <w:t>NOTE 4:</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 xml:space="preserve">(x) is </w:t>
            </w:r>
            <w:r>
              <w:t>rounded to the next higher 0.5dB value.</w:t>
            </w:r>
          </w:p>
          <w:p>
            <w:pPr>
              <w:pStyle w:val="66"/>
            </w:pPr>
            <w:r>
              <w:t>NOTE 5:</w:t>
            </w:r>
            <w:r>
              <w:tab/>
            </w:r>
            <w:r>
              <w:t>P</w:t>
            </w:r>
            <w:r>
              <w:rPr>
                <w:vertAlign w:val="subscript"/>
              </w:rPr>
              <w:t xml:space="preserve">interferer </w:t>
            </w:r>
            <w:r>
              <w:t>shall be set to -42dBm for omni-directional antenna.</w:t>
            </w:r>
          </w:p>
          <w:p>
            <w:pPr>
              <w:pStyle w:val="66"/>
            </w:pPr>
            <w:r>
              <w:t>NOTE 6:</w:t>
            </w:r>
            <w:r>
              <w:tab/>
            </w:r>
            <w:r>
              <w:t>P</w:t>
            </w:r>
            <w:r>
              <w:rPr>
                <w:vertAlign w:val="subscript"/>
              </w:rPr>
              <w:t xml:space="preserve">interferer </w:t>
            </w:r>
            <w:r>
              <w:t>shall be set to -30dBm for antenna array.</w:t>
            </w:r>
          </w:p>
        </w:tc>
      </w:tr>
    </w:tbl>
    <w:p/>
    <w:p>
      <w:pPr>
        <w:pStyle w:val="55"/>
      </w:pPr>
      <w:r>
        <w:t>Table 7.5J.3-5: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pStyle w:val="51"/>
            </w:pPr>
            <w:r>
              <w:t>RX parameter</w:t>
            </w:r>
          </w:p>
        </w:tc>
        <w:tc>
          <w:tcPr>
            <w:tcW w:w="907" w:type="dxa"/>
            <w:tcBorders>
              <w:bottom w:val="nil"/>
            </w:tcBorders>
            <w:shd w:val="clear" w:color="auto" w:fill="auto"/>
            <w:vAlign w:val="center"/>
          </w:tcPr>
          <w:p>
            <w:pPr>
              <w:pStyle w:val="51"/>
            </w:pPr>
            <w:r>
              <w:t>Units</w:t>
            </w:r>
          </w:p>
        </w:tc>
        <w:tc>
          <w:tcPr>
            <w:tcW w:w="6511" w:type="dxa"/>
            <w:vAlign w:val="center"/>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6" w:type="dxa"/>
            <w:tcBorders>
              <w:top w:val="nil"/>
            </w:tcBorders>
            <w:shd w:val="clear" w:color="auto" w:fill="auto"/>
            <w:vAlign w:val="center"/>
          </w:tcPr>
          <w:p>
            <w:pPr>
              <w:pStyle w:val="51"/>
            </w:pPr>
          </w:p>
        </w:tc>
        <w:tc>
          <w:tcPr>
            <w:tcW w:w="907" w:type="dxa"/>
            <w:tcBorders>
              <w:top w:val="nil"/>
            </w:tcBorders>
            <w:shd w:val="clear" w:color="auto" w:fill="auto"/>
            <w:vAlign w:val="center"/>
          </w:tcPr>
          <w:p>
            <w:pPr>
              <w:pStyle w:val="51"/>
            </w:pPr>
          </w:p>
        </w:tc>
        <w:tc>
          <w:tcPr>
            <w:tcW w:w="6511" w:type="dxa"/>
            <w:vAlign w:val="center"/>
          </w:tcPr>
          <w:p>
            <w:pPr>
              <w:pStyle w:val="51"/>
            </w:pPr>
            <w:r>
              <w:t xml:space="preserve">10, 15, 20, 25, 30, </w:t>
            </w:r>
            <w:r>
              <w:rPr>
                <w:u w:val="single"/>
              </w:rPr>
              <w:t>35</w:t>
            </w:r>
            <w:r>
              <w:t>,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2"/>
            </w:pPr>
            <w:r>
              <w:t>Power in transmission bandwidth configuration</w:t>
            </w:r>
          </w:p>
        </w:tc>
        <w:tc>
          <w:tcPr>
            <w:tcW w:w="907" w:type="dxa"/>
            <w:vAlign w:val="center"/>
          </w:tcPr>
          <w:p>
            <w:pPr>
              <w:pStyle w:val="52"/>
            </w:pPr>
            <w:r>
              <w:t>dBm</w:t>
            </w:r>
          </w:p>
        </w:tc>
        <w:tc>
          <w:tcPr>
            <w:tcW w:w="6511" w:type="dxa"/>
            <w:vAlign w:val="center"/>
          </w:tcPr>
          <w:p>
            <w:pPr>
              <w:pStyle w:val="52"/>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2"/>
            </w:pPr>
            <w:r>
              <w:t>P</w:t>
            </w:r>
            <w:r>
              <w:rPr>
                <w:vertAlign w:val="subscript"/>
              </w:rPr>
              <w:t>interferer</w:t>
            </w:r>
          </w:p>
        </w:tc>
        <w:tc>
          <w:tcPr>
            <w:tcW w:w="907" w:type="dxa"/>
            <w:vAlign w:val="center"/>
          </w:tcPr>
          <w:p>
            <w:pPr>
              <w:pStyle w:val="52"/>
            </w:pPr>
            <w:r>
              <w:t>dBm</w:t>
            </w:r>
          </w:p>
        </w:tc>
        <w:tc>
          <w:tcPr>
            <w:tcW w:w="6511" w:type="dxa"/>
            <w:vAlign w:val="center"/>
          </w:tcPr>
          <w:p>
            <w:pPr>
              <w:pStyle w:val="52"/>
            </w:pPr>
            <w:r>
              <w:t>REFSENS + 45.5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2"/>
            </w:pPr>
            <w:r>
              <w:t>BW</w:t>
            </w:r>
            <w:r>
              <w:rPr>
                <w:vertAlign w:val="subscript"/>
              </w:rPr>
              <w:t>interferer</w:t>
            </w:r>
          </w:p>
        </w:tc>
        <w:tc>
          <w:tcPr>
            <w:tcW w:w="907" w:type="dxa"/>
            <w:vAlign w:val="center"/>
          </w:tcPr>
          <w:p>
            <w:pPr>
              <w:pStyle w:val="52"/>
            </w:pPr>
            <w:r>
              <w:t>MHz</w:t>
            </w:r>
          </w:p>
        </w:tc>
        <w:tc>
          <w:tcPr>
            <w:tcW w:w="6511" w:type="dxa"/>
            <w:vAlign w:val="center"/>
          </w:tcPr>
          <w:p>
            <w:pPr>
              <w:pStyle w:val="52"/>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pStyle w:val="52"/>
            </w:pPr>
            <w:r>
              <w:t>F</w:t>
            </w:r>
            <w:r>
              <w:rPr>
                <w:vertAlign w:val="subscript"/>
              </w:rPr>
              <w:t>interferer</w:t>
            </w:r>
            <w:r>
              <w:t xml:space="preserve"> (offset)</w:t>
            </w:r>
          </w:p>
        </w:tc>
        <w:tc>
          <w:tcPr>
            <w:tcW w:w="907" w:type="dxa"/>
            <w:tcBorders>
              <w:bottom w:val="single" w:color="auto" w:sz="4" w:space="0"/>
            </w:tcBorders>
            <w:vAlign w:val="center"/>
          </w:tcPr>
          <w:p>
            <w:pPr>
              <w:pStyle w:val="52"/>
            </w:pPr>
            <w:r>
              <w:t>MHz</w:t>
            </w:r>
          </w:p>
        </w:tc>
        <w:tc>
          <w:tcPr>
            <w:tcW w:w="6511" w:type="dxa"/>
            <w:vAlign w:val="center"/>
          </w:tcPr>
          <w:p>
            <w:pPr>
              <w:pStyle w:val="52"/>
            </w:pPr>
            <w:r>
              <w:t>BW</w:t>
            </w:r>
            <w:r>
              <w:rPr>
                <w:vertAlign w:val="subscript"/>
              </w:rPr>
              <w:t>Channel</w:t>
            </w:r>
          </w:p>
          <w:p>
            <w:pPr>
              <w:pStyle w:val="52"/>
            </w:pPr>
            <w:r>
              <w:t>/</w:t>
            </w:r>
          </w:p>
          <w:p>
            <w:pPr>
              <w:pStyle w:val="52"/>
            </w:pP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904" w:type="dxa"/>
            <w:gridSpan w:val="3"/>
            <w:shd w:val="clear" w:color="auto" w:fill="auto"/>
            <w:vAlign w:val="center"/>
          </w:tcPr>
          <w:p>
            <w:pPr>
              <w:pStyle w:val="66"/>
            </w:pPr>
            <w:r>
              <w:t>NOTE 1:</w:t>
            </w:r>
            <w:r>
              <w:tab/>
            </w:r>
            <w:r>
              <w:t>The transmitter shall be set to 4 dB below P</w:t>
            </w:r>
            <w:r>
              <w:rPr>
                <w:vertAlign w:val="subscript"/>
              </w:rPr>
              <w:t xml:space="preserve">CMAX_L,f,c </w:t>
            </w:r>
            <w:r>
              <w:t>at the minimum UL configuration specified in Table 7.3.2.3-3 with P</w:t>
            </w:r>
            <w:r>
              <w:rPr>
                <w:vertAlign w:val="subscript"/>
              </w:rPr>
              <w:t xml:space="preserve">CMAX_L,f,c </w:t>
            </w:r>
            <w:r>
              <w:t>defined in clause 6.2J.2.</w:t>
            </w:r>
          </w:p>
          <w:p>
            <w:pPr>
              <w:pStyle w:val="66"/>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7" o:spt="75" type="#_x0000_t75" style="height:15pt;width:117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2">
                  <o:LockedField>false</o:LockedField>
                </o:OLEObject>
              </w:object>
            </w:r>
            <w:r>
              <w:t>MHz with SCS the sub-carrier spacing of the wanted signal in MHz. The interferer is an NR signal with an SCS equal to that of the wanted signal.</w:t>
            </w:r>
          </w:p>
          <w:p>
            <w:pPr>
              <w:pStyle w:val="66"/>
            </w:pPr>
            <w:r>
              <w:t>NOTE 3:</w:t>
            </w:r>
            <w:r>
              <w:tab/>
            </w:r>
            <w:r>
              <w:t>The interferer consists of the RMC specified in Annexes A.3.2.2 and A.3.3.2 with one sided dynamic OCNG Pattern OP.1 FDD/TDD for the DL-signal as described in Annex A.5.1.1/A.5.2.1.</w:t>
            </w:r>
          </w:p>
        </w:tc>
      </w:tr>
    </w:tbl>
    <w:p/>
    <w:p>
      <w:pPr>
        <w:pStyle w:val="55"/>
      </w:pPr>
      <w:r>
        <w:t>Table 7.5J.3-6: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6" w:type="dxa"/>
            <w:tcBorders>
              <w:bottom w:val="nil"/>
            </w:tcBorders>
            <w:shd w:val="clear" w:color="auto" w:fill="auto"/>
          </w:tcPr>
          <w:p>
            <w:pPr>
              <w:pStyle w:val="51"/>
            </w:pPr>
            <w:r>
              <w:t>RX parameter</w:t>
            </w:r>
          </w:p>
        </w:tc>
        <w:tc>
          <w:tcPr>
            <w:tcW w:w="907" w:type="dxa"/>
            <w:tcBorders>
              <w:bottom w:val="nil"/>
            </w:tcBorders>
            <w:shd w:val="clear" w:color="auto" w:fill="auto"/>
          </w:tcPr>
          <w:p>
            <w:pPr>
              <w:pStyle w:val="51"/>
            </w:pPr>
            <w:r>
              <w:t>Units</w:t>
            </w:r>
          </w:p>
        </w:tc>
        <w:tc>
          <w:tcPr>
            <w:tcW w:w="6511" w:type="dxa"/>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tcBorders>
            <w:shd w:val="clear" w:color="auto" w:fill="auto"/>
          </w:tcPr>
          <w:p>
            <w:pPr>
              <w:pStyle w:val="51"/>
            </w:pPr>
          </w:p>
        </w:tc>
        <w:tc>
          <w:tcPr>
            <w:tcW w:w="907" w:type="dxa"/>
            <w:tcBorders>
              <w:top w:val="nil"/>
            </w:tcBorders>
            <w:shd w:val="clear" w:color="auto" w:fill="auto"/>
          </w:tcPr>
          <w:p>
            <w:pPr>
              <w:pStyle w:val="51"/>
            </w:pPr>
          </w:p>
        </w:tc>
        <w:tc>
          <w:tcPr>
            <w:tcW w:w="6511" w:type="dxa"/>
          </w:tcPr>
          <w:p>
            <w:pPr>
              <w:pStyle w:val="51"/>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2"/>
            </w:pPr>
            <w:r>
              <w:t>Power in transmission bandwidth configuration</w:t>
            </w:r>
          </w:p>
        </w:tc>
        <w:tc>
          <w:tcPr>
            <w:tcW w:w="907" w:type="dxa"/>
            <w:vAlign w:val="center"/>
          </w:tcPr>
          <w:p>
            <w:pPr>
              <w:pStyle w:val="52"/>
            </w:pPr>
            <w:r>
              <w:t>dBm</w:t>
            </w:r>
          </w:p>
        </w:tc>
        <w:tc>
          <w:tcPr>
            <w:tcW w:w="6511" w:type="dxa"/>
            <w:vAlign w:val="center"/>
          </w:tcPr>
          <w:p>
            <w:pPr>
              <w:pStyle w:val="52"/>
              <w:rPr>
                <w:vertAlign w:val="superscript"/>
              </w:rPr>
            </w:pPr>
            <w:r>
              <w:t>-73.5</w:t>
            </w:r>
            <w:r>
              <w:rPr>
                <w:vertAlign w:val="superscript"/>
              </w:rPr>
              <w:t>4</w:t>
            </w:r>
          </w:p>
          <w:p>
            <w:pPr>
              <w:pStyle w:val="52"/>
            </w:pPr>
            <w:r>
              <w:t>-61.5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2"/>
            </w:pPr>
            <w:r>
              <w:t>P</w:t>
            </w:r>
            <w:r>
              <w:rPr>
                <w:vertAlign w:val="subscript"/>
              </w:rPr>
              <w:t>interferer</w:t>
            </w:r>
          </w:p>
        </w:tc>
        <w:tc>
          <w:tcPr>
            <w:tcW w:w="907" w:type="dxa"/>
            <w:vAlign w:val="center"/>
          </w:tcPr>
          <w:p>
            <w:pPr>
              <w:pStyle w:val="52"/>
            </w:pPr>
            <w:r>
              <w:t>dBm</w:t>
            </w:r>
          </w:p>
        </w:tc>
        <w:tc>
          <w:tcPr>
            <w:tcW w:w="6511" w:type="dxa"/>
            <w:vAlign w:val="center"/>
          </w:tcPr>
          <w:p>
            <w:pPr>
              <w:pStyle w:val="52"/>
            </w:pPr>
            <w:r>
              <w:t>-42</w:t>
            </w:r>
            <w:r>
              <w:rPr>
                <w:vertAlign w:val="superscript"/>
              </w:rPr>
              <w:t>4</w:t>
            </w:r>
          </w:p>
          <w:p>
            <w:pPr>
              <w:pStyle w:val="52"/>
            </w:pPr>
            <w:r>
              <w:t>-30</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6" w:type="dxa"/>
            <w:shd w:val="clear" w:color="auto" w:fill="auto"/>
            <w:vAlign w:val="center"/>
          </w:tcPr>
          <w:p>
            <w:pPr>
              <w:pStyle w:val="52"/>
            </w:pPr>
            <w:r>
              <w:t>BW</w:t>
            </w:r>
            <w:r>
              <w:rPr>
                <w:vertAlign w:val="subscript"/>
              </w:rPr>
              <w:t>interferer</w:t>
            </w:r>
          </w:p>
        </w:tc>
        <w:tc>
          <w:tcPr>
            <w:tcW w:w="907" w:type="dxa"/>
            <w:vAlign w:val="center"/>
          </w:tcPr>
          <w:p>
            <w:pPr>
              <w:pStyle w:val="52"/>
            </w:pPr>
            <w:r>
              <w:t>MHz</w:t>
            </w:r>
          </w:p>
        </w:tc>
        <w:tc>
          <w:tcPr>
            <w:tcW w:w="6511" w:type="dxa"/>
            <w:vAlign w:val="center"/>
          </w:tcPr>
          <w:p>
            <w:pPr>
              <w:pStyle w:val="52"/>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pStyle w:val="52"/>
            </w:pPr>
            <w:r>
              <w:t>F</w:t>
            </w:r>
            <w:r>
              <w:rPr>
                <w:vertAlign w:val="subscript"/>
              </w:rPr>
              <w:t>interferer</w:t>
            </w:r>
            <w:r>
              <w:t xml:space="preserve"> (offset)</w:t>
            </w:r>
          </w:p>
        </w:tc>
        <w:tc>
          <w:tcPr>
            <w:tcW w:w="907" w:type="dxa"/>
            <w:tcBorders>
              <w:bottom w:val="single" w:color="auto" w:sz="4" w:space="0"/>
            </w:tcBorders>
            <w:vAlign w:val="center"/>
          </w:tcPr>
          <w:p>
            <w:pPr>
              <w:pStyle w:val="52"/>
            </w:pPr>
            <w:r>
              <w:t>MHz</w:t>
            </w:r>
          </w:p>
        </w:tc>
        <w:tc>
          <w:tcPr>
            <w:tcW w:w="6511" w:type="dxa"/>
            <w:vAlign w:val="center"/>
          </w:tcPr>
          <w:p>
            <w:pPr>
              <w:pStyle w:val="52"/>
            </w:pPr>
            <w:r>
              <w:t>BW</w:t>
            </w:r>
            <w:r>
              <w:rPr>
                <w:vertAlign w:val="subscript"/>
              </w:rPr>
              <w:t>Channel</w:t>
            </w:r>
          </w:p>
          <w:p>
            <w:pPr>
              <w:pStyle w:val="52"/>
            </w:pPr>
            <w:r>
              <w:t>/</w:t>
            </w:r>
          </w:p>
          <w:p>
            <w:pPr>
              <w:pStyle w:val="52"/>
            </w:pP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tcPr>
          <w:p>
            <w:pPr>
              <w:pStyle w:val="66"/>
            </w:pPr>
            <w:r>
              <w:t>NOTE 1:</w:t>
            </w:r>
            <w:r>
              <w:tab/>
            </w:r>
            <w:r>
              <w:t>The transmitter shall be set to 24 dB below P</w:t>
            </w:r>
            <w:r>
              <w:rPr>
                <w:vertAlign w:val="subscript"/>
              </w:rPr>
              <w:t xml:space="preserve">CMAX_L,f,c </w:t>
            </w:r>
            <w:r>
              <w:t>at the minimum UL configuration specified in Table 7.3.2.3-3 with P</w:t>
            </w:r>
            <w:r>
              <w:rPr>
                <w:vertAlign w:val="subscript"/>
              </w:rPr>
              <w:t xml:space="preserve">CMAX_L,f,c </w:t>
            </w:r>
            <w:r>
              <w:t>defined in clause 6.2J.2.</w:t>
            </w:r>
          </w:p>
          <w:p>
            <w:pPr>
              <w:pStyle w:val="66"/>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8" o:spt="75" type="#_x0000_t75" style="height:15pt;width:117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3">
                  <o:LockedField>false</o:LockedField>
                </o:OLEObject>
              </w:object>
            </w:r>
            <w:r>
              <w:t>MHz with SCS the sub-carrier spacing of the wanted signal in MHz. The interferer is an NR signal with an SCS equal to that of the wanted signal.</w:t>
            </w:r>
          </w:p>
          <w:p>
            <w:pPr>
              <w:pStyle w:val="66"/>
            </w:pPr>
            <w:r>
              <w:t>NOTE 3:</w:t>
            </w:r>
            <w:r>
              <w:tab/>
            </w:r>
            <w:r>
              <w:t xml:space="preserve">The interferer consists of the RMC specified in Annexes A.3.2.2 and A.3.3.2 with one sided dynamic OCNG Pattern OP.1 FDD/TDD for the DL-signal as described in Annex A.5.1.1/A.5.2.1. </w:t>
            </w:r>
          </w:p>
          <w:p>
            <w:pPr>
              <w:pStyle w:val="66"/>
            </w:pPr>
            <w:r>
              <w:t>NOTE 4:</w:t>
            </w:r>
            <w:r>
              <w:tab/>
            </w:r>
            <w:r>
              <w:t>P</w:t>
            </w:r>
            <w:r>
              <w:rPr>
                <w:vertAlign w:val="subscript"/>
              </w:rPr>
              <w:t xml:space="preserve">interferer </w:t>
            </w:r>
            <w:r>
              <w:t>shall be set to -42dBm for omni-directional antenna.</w:t>
            </w:r>
          </w:p>
          <w:p>
            <w:pPr>
              <w:pStyle w:val="66"/>
            </w:pPr>
            <w:r>
              <w:t>NOTE 5:</w:t>
            </w:r>
            <w:r>
              <w:tab/>
            </w:r>
            <w:r>
              <w:t>P</w:t>
            </w:r>
            <w:r>
              <w:rPr>
                <w:vertAlign w:val="subscript"/>
              </w:rPr>
              <w:t xml:space="preserve">interferer </w:t>
            </w:r>
            <w:r>
              <w:t>shall be set to -30dBm for antenna array.</w:t>
            </w:r>
          </w:p>
        </w:tc>
      </w:tr>
    </w:tbl>
    <w:p/>
    <w:p>
      <w:r>
        <w:t>The normative reference for this requirement is TS 38.101-1 [2] clause 7.5J.</w:t>
      </w:r>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10" w:usb3="00000000" w:csb0="00040001" w:csb1="00000000"/>
  </w:font>
  <w:font w:name="Osaka">
    <w:altName w:val="MS Gothic"/>
    <w:panose1 w:val="00000000000000000000"/>
    <w:charset w:val="80"/>
    <w:family w:val="swiss"/>
    <w:pitch w:val="default"/>
    <w:sig w:usb0="00000000" w:usb1="00000000" w:usb2="00000010" w:usb3="00000000" w:csb0="00020093"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2560237"/>
    <w:rsid w:val="031F40B3"/>
    <w:rsid w:val="032AB760"/>
    <w:rsid w:val="0379447D"/>
    <w:rsid w:val="03D9468C"/>
    <w:rsid w:val="0506558F"/>
    <w:rsid w:val="068E3D63"/>
    <w:rsid w:val="06AB4866"/>
    <w:rsid w:val="071E4F82"/>
    <w:rsid w:val="08CE6E25"/>
    <w:rsid w:val="09293EF8"/>
    <w:rsid w:val="09802B26"/>
    <w:rsid w:val="0C306C99"/>
    <w:rsid w:val="0DDA40DB"/>
    <w:rsid w:val="0E2E4B13"/>
    <w:rsid w:val="11435F18"/>
    <w:rsid w:val="14FF296A"/>
    <w:rsid w:val="16C10575"/>
    <w:rsid w:val="175E3B80"/>
    <w:rsid w:val="17DE4581"/>
    <w:rsid w:val="18416FA7"/>
    <w:rsid w:val="1D34061D"/>
    <w:rsid w:val="1D7B15F9"/>
    <w:rsid w:val="1EB81B4E"/>
    <w:rsid w:val="1F2C2BE9"/>
    <w:rsid w:val="1F4A14F9"/>
    <w:rsid w:val="23295712"/>
    <w:rsid w:val="23353569"/>
    <w:rsid w:val="26165ECB"/>
    <w:rsid w:val="26E34816"/>
    <w:rsid w:val="2A776112"/>
    <w:rsid w:val="2AC04438"/>
    <w:rsid w:val="2C03340C"/>
    <w:rsid w:val="2C867F06"/>
    <w:rsid w:val="2CC63ED7"/>
    <w:rsid w:val="2E66503A"/>
    <w:rsid w:val="2F991A4B"/>
    <w:rsid w:val="31790817"/>
    <w:rsid w:val="329C75C2"/>
    <w:rsid w:val="36A22CC5"/>
    <w:rsid w:val="36FF7041"/>
    <w:rsid w:val="379A38EF"/>
    <w:rsid w:val="37BD7490"/>
    <w:rsid w:val="37F65865"/>
    <w:rsid w:val="39024E77"/>
    <w:rsid w:val="397F2944"/>
    <w:rsid w:val="3A2C3B2A"/>
    <w:rsid w:val="3A6B0310"/>
    <w:rsid w:val="3AE72A11"/>
    <w:rsid w:val="3B922E3E"/>
    <w:rsid w:val="3C0828F4"/>
    <w:rsid w:val="3D4F6633"/>
    <w:rsid w:val="3DF24E2F"/>
    <w:rsid w:val="3EB7C8FC"/>
    <w:rsid w:val="3EBD4E8D"/>
    <w:rsid w:val="3FC02C90"/>
    <w:rsid w:val="41A82799"/>
    <w:rsid w:val="43CC6DF1"/>
    <w:rsid w:val="45B2544C"/>
    <w:rsid w:val="463329CC"/>
    <w:rsid w:val="46464F62"/>
    <w:rsid w:val="469F567E"/>
    <w:rsid w:val="46FF4110"/>
    <w:rsid w:val="4772571F"/>
    <w:rsid w:val="482E4E78"/>
    <w:rsid w:val="48325384"/>
    <w:rsid w:val="48744026"/>
    <w:rsid w:val="49806507"/>
    <w:rsid w:val="498B3497"/>
    <w:rsid w:val="4AD2498A"/>
    <w:rsid w:val="4AE85DA1"/>
    <w:rsid w:val="4B9168E1"/>
    <w:rsid w:val="4C9D69A4"/>
    <w:rsid w:val="4FED76D6"/>
    <w:rsid w:val="50A73129"/>
    <w:rsid w:val="51473B18"/>
    <w:rsid w:val="521715DD"/>
    <w:rsid w:val="53BE1958"/>
    <w:rsid w:val="54817698"/>
    <w:rsid w:val="565C61CE"/>
    <w:rsid w:val="56B9437B"/>
    <w:rsid w:val="57F9583D"/>
    <w:rsid w:val="583A68F8"/>
    <w:rsid w:val="59CB277C"/>
    <w:rsid w:val="5BB5599A"/>
    <w:rsid w:val="5C3464E6"/>
    <w:rsid w:val="61E46F40"/>
    <w:rsid w:val="626335EE"/>
    <w:rsid w:val="62E1105D"/>
    <w:rsid w:val="632745D3"/>
    <w:rsid w:val="638A76A6"/>
    <w:rsid w:val="63F40659"/>
    <w:rsid w:val="64540B3D"/>
    <w:rsid w:val="64876A99"/>
    <w:rsid w:val="64A50183"/>
    <w:rsid w:val="64EC77D0"/>
    <w:rsid w:val="651E0AE1"/>
    <w:rsid w:val="654D5BCA"/>
    <w:rsid w:val="66456E99"/>
    <w:rsid w:val="66653000"/>
    <w:rsid w:val="66C6054C"/>
    <w:rsid w:val="673644E6"/>
    <w:rsid w:val="675F76E3"/>
    <w:rsid w:val="67C307AB"/>
    <w:rsid w:val="680C4312"/>
    <w:rsid w:val="69D97CAE"/>
    <w:rsid w:val="6A146A27"/>
    <w:rsid w:val="6BFBBB5D"/>
    <w:rsid w:val="6EF62701"/>
    <w:rsid w:val="6FC85EC7"/>
    <w:rsid w:val="6FEE6F79"/>
    <w:rsid w:val="72173CAE"/>
    <w:rsid w:val="732B434B"/>
    <w:rsid w:val="738B7074"/>
    <w:rsid w:val="73E111A1"/>
    <w:rsid w:val="74E76CC4"/>
    <w:rsid w:val="753B0290"/>
    <w:rsid w:val="75597550"/>
    <w:rsid w:val="75C760AF"/>
    <w:rsid w:val="76786FB7"/>
    <w:rsid w:val="76AF17E9"/>
    <w:rsid w:val="76CC2F38"/>
    <w:rsid w:val="770A308B"/>
    <w:rsid w:val="771F161C"/>
    <w:rsid w:val="77F13D7A"/>
    <w:rsid w:val="78A10AF0"/>
    <w:rsid w:val="797C5787"/>
    <w:rsid w:val="79D31349"/>
    <w:rsid w:val="7A5565DC"/>
    <w:rsid w:val="7B23446B"/>
    <w:rsid w:val="7BDD5D9A"/>
    <w:rsid w:val="7BFF6EEF"/>
    <w:rsid w:val="7CFD5C17"/>
    <w:rsid w:val="7E3316A2"/>
    <w:rsid w:val="7EFFA8F1"/>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9</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2024-05-10T10:21:18Z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BAF5B9CE925945CC8F28BCD3F953B986</vt:lpwstr>
  </property>
</Properties>
</file>